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D3" w:rsidRPr="001C7FD3" w:rsidRDefault="001C7FD3" w:rsidP="001C7FD3">
      <w:pPr>
        <w:rPr>
          <w:sz w:val="24"/>
          <w:szCs w:val="24"/>
        </w:rPr>
      </w:pPr>
      <w:r w:rsidRPr="001C7FD3">
        <w:rPr>
          <w:b/>
          <w:bCs/>
          <w:sz w:val="24"/>
          <w:szCs w:val="24"/>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1C7FD3" w:rsidRPr="001C7FD3" w:rsidTr="001C7FD3">
        <w:trPr>
          <w:tblCellSpacing w:w="0" w:type="dxa"/>
        </w:trPr>
        <w:tc>
          <w:tcPr>
            <w:tcW w:w="2130" w:type="dxa"/>
            <w:hideMark/>
          </w:tcPr>
          <w:p w:rsidR="001C7FD3" w:rsidRPr="001C7FD3" w:rsidRDefault="001C7FD3" w:rsidP="001C7FD3">
            <w:pPr>
              <w:rPr>
                <w:sz w:val="24"/>
                <w:szCs w:val="24"/>
              </w:rPr>
            </w:pPr>
            <w:r w:rsidRPr="001C7FD3">
              <w:rPr>
                <w:b/>
                <w:bCs/>
                <w:sz w:val="24"/>
                <w:szCs w:val="24"/>
              </w:rPr>
              <w:t>Letter Number:</w:t>
            </w:r>
          </w:p>
        </w:tc>
        <w:tc>
          <w:tcPr>
            <w:tcW w:w="7980" w:type="dxa"/>
            <w:hideMark/>
          </w:tcPr>
          <w:p w:rsidR="001C7FD3" w:rsidRPr="001C7FD3" w:rsidRDefault="001C7FD3" w:rsidP="001C7FD3">
            <w:pPr>
              <w:rPr>
                <w:sz w:val="24"/>
                <w:szCs w:val="24"/>
              </w:rPr>
            </w:pPr>
            <w:r w:rsidRPr="001C7FD3">
              <w:rPr>
                <w:b/>
                <w:bCs/>
                <w:sz w:val="24"/>
                <w:szCs w:val="24"/>
              </w:rPr>
              <w:t>O-2008-004</w:t>
            </w:r>
          </w:p>
        </w:tc>
      </w:tr>
    </w:tbl>
    <w:p w:rsidR="001C7FD3" w:rsidRPr="001C7FD3" w:rsidRDefault="001C7FD3" w:rsidP="001C7FD3">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018"/>
        <w:gridCol w:w="7342"/>
      </w:tblGrid>
      <w:tr w:rsidR="001C7FD3" w:rsidRPr="001C7FD3" w:rsidTr="001C7FD3">
        <w:trPr>
          <w:tblCellSpacing w:w="0" w:type="dxa"/>
        </w:trPr>
        <w:tc>
          <w:tcPr>
            <w:tcW w:w="2130" w:type="dxa"/>
            <w:hideMark/>
          </w:tcPr>
          <w:p w:rsidR="00FE4D32" w:rsidRPr="001C7FD3" w:rsidRDefault="001C7FD3" w:rsidP="001C7FD3">
            <w:pPr>
              <w:rPr>
                <w:sz w:val="24"/>
                <w:szCs w:val="24"/>
              </w:rPr>
            </w:pPr>
            <w:r w:rsidRPr="001C7FD3">
              <w:rPr>
                <w:b/>
                <w:bCs/>
                <w:sz w:val="24"/>
                <w:szCs w:val="24"/>
              </w:rPr>
              <w:t>Tax Type:</w:t>
            </w:r>
          </w:p>
        </w:tc>
        <w:tc>
          <w:tcPr>
            <w:tcW w:w="8190" w:type="dxa"/>
            <w:hideMark/>
          </w:tcPr>
          <w:p w:rsidR="001C7FD3" w:rsidRPr="001C7FD3" w:rsidRDefault="001C7FD3" w:rsidP="001C7FD3">
            <w:pPr>
              <w:rPr>
                <w:sz w:val="24"/>
                <w:szCs w:val="24"/>
              </w:rPr>
            </w:pPr>
            <w:r w:rsidRPr="001C7FD3">
              <w:rPr>
                <w:b/>
                <w:bCs/>
                <w:sz w:val="24"/>
                <w:szCs w:val="24"/>
              </w:rPr>
              <w:t>Individual Income Tax</w:t>
            </w:r>
          </w:p>
        </w:tc>
      </w:tr>
      <w:tr w:rsidR="001C7FD3" w:rsidRPr="001C7FD3" w:rsidTr="001C7FD3">
        <w:trPr>
          <w:tblCellSpacing w:w="0" w:type="dxa"/>
        </w:trPr>
        <w:tc>
          <w:tcPr>
            <w:tcW w:w="2130" w:type="dxa"/>
            <w:hideMark/>
          </w:tcPr>
          <w:p w:rsidR="001C7FD3" w:rsidRPr="001C7FD3" w:rsidRDefault="001C7FD3" w:rsidP="001C7FD3">
            <w:pPr>
              <w:rPr>
                <w:sz w:val="24"/>
                <w:szCs w:val="24"/>
              </w:rPr>
            </w:pPr>
            <w:r w:rsidRPr="001C7FD3">
              <w:rPr>
                <w:b/>
                <w:bCs/>
                <w:sz w:val="24"/>
                <w:szCs w:val="24"/>
              </w:rPr>
              <w:t>Brief Description:</w:t>
            </w:r>
          </w:p>
        </w:tc>
        <w:tc>
          <w:tcPr>
            <w:tcW w:w="8190" w:type="dxa"/>
            <w:hideMark/>
          </w:tcPr>
          <w:p w:rsidR="001C7FD3" w:rsidRPr="001C7FD3" w:rsidRDefault="001C7FD3" w:rsidP="001C7FD3">
            <w:pPr>
              <w:rPr>
                <w:sz w:val="24"/>
                <w:szCs w:val="24"/>
              </w:rPr>
            </w:pPr>
            <w:bookmarkStart w:id="0" w:name="_GoBack"/>
            <w:r w:rsidRPr="001C7FD3">
              <w:rPr>
                <w:b/>
                <w:bCs/>
                <w:sz w:val="24"/>
                <w:szCs w:val="24"/>
              </w:rPr>
              <w:t>Regarding the revised Texas franchise tax</w:t>
            </w:r>
            <w:bookmarkEnd w:id="0"/>
            <w:r w:rsidRPr="001C7FD3">
              <w:rPr>
                <w:b/>
                <w:bCs/>
                <w:sz w:val="24"/>
                <w:szCs w:val="24"/>
              </w:rPr>
              <w:t>.</w:t>
            </w:r>
          </w:p>
        </w:tc>
      </w:tr>
      <w:tr w:rsidR="001C7FD3" w:rsidRPr="001C7FD3" w:rsidTr="001C7FD3">
        <w:trPr>
          <w:tblCellSpacing w:w="0" w:type="dxa"/>
        </w:trPr>
        <w:tc>
          <w:tcPr>
            <w:tcW w:w="2130" w:type="dxa"/>
            <w:hideMark/>
          </w:tcPr>
          <w:p w:rsidR="001C7FD3" w:rsidRPr="001C7FD3" w:rsidRDefault="001C7FD3" w:rsidP="001C7FD3">
            <w:pPr>
              <w:rPr>
                <w:sz w:val="24"/>
                <w:szCs w:val="24"/>
              </w:rPr>
            </w:pPr>
            <w:r w:rsidRPr="001C7FD3">
              <w:rPr>
                <w:b/>
                <w:bCs/>
                <w:sz w:val="24"/>
                <w:szCs w:val="24"/>
              </w:rPr>
              <w:t>Keywords:</w:t>
            </w:r>
          </w:p>
        </w:tc>
        <w:tc>
          <w:tcPr>
            <w:tcW w:w="8190" w:type="dxa"/>
            <w:hideMark/>
          </w:tcPr>
          <w:p w:rsidR="001C7FD3" w:rsidRPr="001C7FD3" w:rsidRDefault="001C7FD3" w:rsidP="001C7FD3">
            <w:pPr>
              <w:rPr>
                <w:sz w:val="24"/>
                <w:szCs w:val="24"/>
              </w:rPr>
            </w:pPr>
          </w:p>
        </w:tc>
      </w:tr>
      <w:tr w:rsidR="001C7FD3" w:rsidRPr="001C7FD3" w:rsidTr="001C7FD3">
        <w:trPr>
          <w:tblCellSpacing w:w="0" w:type="dxa"/>
        </w:trPr>
        <w:tc>
          <w:tcPr>
            <w:tcW w:w="2130" w:type="dxa"/>
            <w:hideMark/>
          </w:tcPr>
          <w:p w:rsidR="001C7FD3" w:rsidRPr="001C7FD3" w:rsidRDefault="001C7FD3" w:rsidP="001C7FD3">
            <w:pPr>
              <w:rPr>
                <w:sz w:val="24"/>
                <w:szCs w:val="24"/>
              </w:rPr>
            </w:pPr>
            <w:r w:rsidRPr="001C7FD3">
              <w:rPr>
                <w:b/>
                <w:bCs/>
                <w:sz w:val="24"/>
                <w:szCs w:val="24"/>
              </w:rPr>
              <w:t>Approval Date:</w:t>
            </w:r>
          </w:p>
        </w:tc>
        <w:tc>
          <w:tcPr>
            <w:tcW w:w="8190" w:type="dxa"/>
            <w:hideMark/>
          </w:tcPr>
          <w:p w:rsidR="001C7FD3" w:rsidRPr="001C7FD3" w:rsidRDefault="001C7FD3" w:rsidP="001C7FD3">
            <w:pPr>
              <w:rPr>
                <w:sz w:val="24"/>
                <w:szCs w:val="24"/>
              </w:rPr>
            </w:pPr>
            <w:r w:rsidRPr="001C7FD3">
              <w:rPr>
                <w:b/>
                <w:bCs/>
                <w:sz w:val="24"/>
                <w:szCs w:val="24"/>
              </w:rPr>
              <w:t>09/02/2008</w:t>
            </w:r>
          </w:p>
        </w:tc>
      </w:tr>
    </w:tbl>
    <w:p w:rsidR="00FE4D32" w:rsidRPr="001C7FD3" w:rsidRDefault="00EA2AB5" w:rsidP="001C7FD3">
      <w:pPr>
        <w:rPr>
          <w:sz w:val="24"/>
          <w:szCs w:val="24"/>
        </w:rPr>
      </w:pPr>
      <w:r>
        <w:rPr>
          <w:sz w:val="24"/>
          <w:szCs w:val="24"/>
        </w:rPr>
        <w:pict>
          <v:rect id="_x0000_i1025" style="width:468pt;height:5.25pt" o:hrstd="t" o:hrnoshade="t" o:hr="t" fillcolor="navy" stroked="f"/>
        </w:pict>
      </w:r>
    </w:p>
    <w:p w:rsidR="001C7FD3" w:rsidRPr="001C7FD3" w:rsidRDefault="001C7FD3" w:rsidP="001C7FD3">
      <w:pPr>
        <w:rPr>
          <w:sz w:val="24"/>
          <w:szCs w:val="24"/>
        </w:rPr>
      </w:pPr>
      <w:r w:rsidRPr="001C7FD3">
        <w:rPr>
          <w:sz w:val="24"/>
          <w:szCs w:val="24"/>
        </w:rPr>
        <w:br/>
      </w:r>
      <w:r w:rsidRPr="001C7FD3">
        <w:rPr>
          <w:b/>
          <w:bCs/>
          <w:sz w:val="24"/>
          <w:szCs w:val="24"/>
        </w:rPr>
        <w:t>Body:</w:t>
      </w:r>
    </w:p>
    <w:p w:rsidR="001C7FD3" w:rsidRPr="001C7FD3" w:rsidRDefault="001C7FD3" w:rsidP="001C7FD3">
      <w:pPr>
        <w:rPr>
          <w:sz w:val="24"/>
          <w:szCs w:val="24"/>
        </w:rPr>
      </w:pPr>
      <w:r w:rsidRPr="001C7FD3">
        <w:rPr>
          <w:sz w:val="24"/>
          <w:szCs w:val="24"/>
        </w:rPr>
        <w:t>Office of Policy &amp; Research</w:t>
      </w:r>
    </w:p>
    <w:p w:rsidR="001C7FD3" w:rsidRPr="001C7FD3" w:rsidRDefault="001C7FD3" w:rsidP="001C7FD3">
      <w:pPr>
        <w:rPr>
          <w:sz w:val="24"/>
          <w:szCs w:val="24"/>
        </w:rPr>
      </w:pPr>
      <w:r w:rsidRPr="001C7FD3">
        <w:rPr>
          <w:sz w:val="24"/>
          <w:szCs w:val="24"/>
        </w:rPr>
        <w:t>September 2, 2008</w:t>
      </w:r>
    </w:p>
    <w:p w:rsidR="00944CF2" w:rsidRPr="001C7FD3" w:rsidRDefault="001C7FD3" w:rsidP="001C7FD3">
      <w:pPr>
        <w:rPr>
          <w:sz w:val="24"/>
          <w:szCs w:val="24"/>
        </w:rPr>
      </w:pPr>
      <w:r w:rsidRPr="001C7FD3">
        <w:rPr>
          <w:sz w:val="24"/>
          <w:szCs w:val="24"/>
        </w:rPr>
        <w:br/>
      </w:r>
      <w:r w:rsidRPr="001C7FD3">
        <w:rPr>
          <w:sz w:val="24"/>
          <w:szCs w:val="24"/>
        </w:rPr>
        <w:br/>
        <w:t>XXXXXXX</w:t>
      </w:r>
      <w:r w:rsidRPr="001C7FD3">
        <w:rPr>
          <w:sz w:val="24"/>
          <w:szCs w:val="24"/>
        </w:rPr>
        <w:br/>
      </w:r>
      <w:proofErr w:type="spellStart"/>
      <w:r w:rsidRPr="001C7FD3">
        <w:rPr>
          <w:sz w:val="24"/>
          <w:szCs w:val="24"/>
        </w:rPr>
        <w:t>XXXXXXX</w:t>
      </w:r>
      <w:proofErr w:type="spellEnd"/>
      <w:r w:rsidRPr="001C7FD3">
        <w:rPr>
          <w:sz w:val="24"/>
          <w:szCs w:val="24"/>
        </w:rPr>
        <w:br/>
      </w:r>
      <w:r w:rsidRPr="001C7FD3">
        <w:rPr>
          <w:sz w:val="24"/>
          <w:szCs w:val="24"/>
        </w:rPr>
        <w:br/>
        <w:t>Re: Kansas Income Tax</w:t>
      </w:r>
      <w:r w:rsidRPr="001C7FD3">
        <w:rPr>
          <w:sz w:val="24"/>
          <w:szCs w:val="24"/>
        </w:rPr>
        <w:br/>
      </w:r>
      <w:r w:rsidRPr="001C7FD3">
        <w:rPr>
          <w:sz w:val="24"/>
          <w:szCs w:val="24"/>
        </w:rPr>
        <w:br/>
        <w:t>Dear: Mr. XXXXX</w:t>
      </w:r>
      <w:r w:rsidRPr="001C7FD3">
        <w:rPr>
          <w:sz w:val="24"/>
          <w:szCs w:val="24"/>
        </w:rPr>
        <w:br/>
      </w:r>
      <w:r w:rsidRPr="001C7FD3">
        <w:rPr>
          <w:sz w:val="24"/>
          <w:szCs w:val="24"/>
        </w:rPr>
        <w:br/>
        <w:t>Your correspondence of June 13, 2008 has been referred to me for response. Thank you for your inquiry and please accept my apologies for the delay in responding.</w:t>
      </w:r>
      <w:r w:rsidRPr="001C7FD3">
        <w:rPr>
          <w:sz w:val="24"/>
          <w:szCs w:val="24"/>
        </w:rPr>
        <w:br/>
      </w:r>
      <w:r w:rsidRPr="001C7FD3">
        <w:rPr>
          <w:sz w:val="24"/>
          <w:szCs w:val="24"/>
        </w:rPr>
        <w:br/>
        <w:t>Your e-mail notes that in Opinion Letter O-2003-001 the Kansas Department of Revenue ruled that the Texas franchise tax was a state franchise tax and not a state income tax. You also note that since the issuance of that ruling the Texas franchise tax has been replaced with the revised Texas franchise tax which is characterized on the Texas web site as “a privilege tax imposed on each taxable entity chartered/organized in Texas or doing business in Texas.” By your e-mail you ask whether Kansas considers the revised Texas franchise tax to be a franchise tax or an income tax with respect to Kansas partnerships, S corporations and individuals for purposes of (1) adjustment for taxes on or measured by income or fees or payment in lieu of income taxes and (2) credits for taxes paid to other states.</w:t>
      </w:r>
      <w:r w:rsidRPr="001C7FD3">
        <w:rPr>
          <w:sz w:val="24"/>
          <w:szCs w:val="24"/>
        </w:rPr>
        <w:br/>
      </w:r>
      <w:r w:rsidRPr="001C7FD3">
        <w:rPr>
          <w:sz w:val="24"/>
          <w:szCs w:val="24"/>
        </w:rPr>
        <w:br/>
        <w:t xml:space="preserve">In response to your inquiry, please be advised the Department has considered this matter and has determined the revised Texas franchise tax is based on income and is therefore in the nature of an income tax. Accordingly, the revised Texas franchise tax will be an addback </w:t>
      </w:r>
      <w:r w:rsidRPr="001C7FD3">
        <w:rPr>
          <w:sz w:val="24"/>
          <w:szCs w:val="24"/>
        </w:rPr>
        <w:lastRenderedPageBreak/>
        <w:t>modification for Kansas corporate income tax purposes. It could also be claimed as a credit for taxes paid to another state.</w:t>
      </w:r>
      <w:r w:rsidRPr="001C7FD3">
        <w:rPr>
          <w:sz w:val="24"/>
          <w:szCs w:val="24"/>
        </w:rPr>
        <w:br/>
      </w:r>
      <w:r w:rsidRPr="001C7FD3">
        <w:rPr>
          <w:sz w:val="24"/>
          <w:szCs w:val="24"/>
        </w:rPr>
        <w:br/>
        <w:t>I trust this information is of assistance. If I can be of further service, please feel free to contact me.</w:t>
      </w:r>
      <w:r w:rsidRPr="001C7FD3">
        <w:rPr>
          <w:sz w:val="24"/>
          <w:szCs w:val="24"/>
        </w:rPr>
        <w:br/>
      </w:r>
      <w:r w:rsidRPr="001C7FD3">
        <w:rPr>
          <w:sz w:val="24"/>
          <w:szCs w:val="24"/>
        </w:rPr>
        <w:br/>
        <w:t>Sincerely</w:t>
      </w:r>
      <w:proofErr w:type="gramStart"/>
      <w:r w:rsidRPr="001C7FD3">
        <w:rPr>
          <w:sz w:val="24"/>
          <w:szCs w:val="24"/>
        </w:rPr>
        <w:t>,</w:t>
      </w:r>
      <w:proofErr w:type="gramEnd"/>
      <w:r w:rsidRPr="001C7FD3">
        <w:rPr>
          <w:sz w:val="24"/>
          <w:szCs w:val="24"/>
        </w:rPr>
        <w:br/>
      </w:r>
      <w:r w:rsidRPr="001C7FD3">
        <w:rPr>
          <w:sz w:val="24"/>
          <w:szCs w:val="24"/>
        </w:rPr>
        <w:br/>
      </w:r>
      <w:r w:rsidRPr="001C7FD3">
        <w:rPr>
          <w:sz w:val="24"/>
          <w:szCs w:val="24"/>
        </w:rPr>
        <w:br/>
      </w:r>
      <w:r w:rsidRPr="001C7FD3">
        <w:rPr>
          <w:sz w:val="24"/>
          <w:szCs w:val="24"/>
        </w:rPr>
        <w:br/>
        <w:t xml:space="preserve">Jim </w:t>
      </w:r>
      <w:proofErr w:type="spellStart"/>
      <w:r w:rsidRPr="001C7FD3">
        <w:rPr>
          <w:sz w:val="24"/>
          <w:szCs w:val="24"/>
        </w:rPr>
        <w:t>Weisgerber</w:t>
      </w:r>
      <w:proofErr w:type="spellEnd"/>
      <w:r w:rsidRPr="001C7FD3">
        <w:rPr>
          <w:sz w:val="24"/>
          <w:szCs w:val="24"/>
        </w:rPr>
        <w:br/>
        <w:t>Attorney</w:t>
      </w:r>
      <w:r w:rsidRPr="001C7FD3">
        <w:rPr>
          <w:sz w:val="24"/>
          <w:szCs w:val="24"/>
        </w:rPr>
        <w:br/>
        <w:t>Tax Specialist</w:t>
      </w:r>
      <w:r w:rsidRPr="001C7FD3">
        <w:rPr>
          <w:sz w:val="24"/>
          <w:szCs w:val="24"/>
        </w:rPr>
        <w:br/>
      </w:r>
      <w:r w:rsidRPr="001C7FD3">
        <w:rPr>
          <w:sz w:val="24"/>
          <w:szCs w:val="24"/>
        </w:rPr>
        <w:br/>
      </w:r>
      <w:proofErr w:type="spellStart"/>
      <w:r w:rsidRPr="001C7FD3">
        <w:rPr>
          <w:sz w:val="24"/>
          <w:szCs w:val="24"/>
        </w:rPr>
        <w:t>JW:jw</w:t>
      </w:r>
      <w:proofErr w:type="spellEnd"/>
      <w:r w:rsidRPr="001C7FD3">
        <w:rPr>
          <w:sz w:val="24"/>
          <w:szCs w:val="24"/>
        </w:rPr>
        <w:br/>
      </w:r>
      <w:r w:rsidRPr="001C7FD3">
        <w:rPr>
          <w:sz w:val="24"/>
          <w:szCs w:val="24"/>
        </w:rPr>
        <w:br/>
      </w:r>
      <w:r w:rsidRPr="001C7FD3">
        <w:rPr>
          <w:i/>
          <w:iCs/>
          <w:sz w:val="24"/>
          <w:szCs w:val="24"/>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1C7FD3">
        <w:rPr>
          <w:sz w:val="24"/>
          <w:szCs w:val="24"/>
        </w:rPr>
        <w:br/>
      </w:r>
      <w:r w:rsidRPr="001C7FD3">
        <w:rPr>
          <w:sz w:val="24"/>
          <w:szCs w:val="24"/>
        </w:rPr>
        <w:br/>
      </w:r>
      <w:r w:rsidRPr="001C7FD3">
        <w:rPr>
          <w:sz w:val="24"/>
          <w:szCs w:val="24"/>
        </w:rPr>
        <w:br/>
      </w:r>
      <w:r w:rsidRPr="001C7FD3">
        <w:rPr>
          <w:b/>
          <w:bCs/>
          <w:sz w:val="24"/>
          <w:szCs w:val="24"/>
        </w:rPr>
        <w:t>Date Composed: 09/04/2008 Date Modified: 09/04/2008</w:t>
      </w:r>
    </w:p>
    <w:sectPr w:rsidR="00944CF2" w:rsidRPr="001C7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1C7FD3"/>
    <w:rsid w:val="00300A88"/>
    <w:rsid w:val="003C7E7C"/>
    <w:rsid w:val="004F18F2"/>
    <w:rsid w:val="00523C38"/>
    <w:rsid w:val="00623A80"/>
    <w:rsid w:val="006D22EE"/>
    <w:rsid w:val="00837E3A"/>
    <w:rsid w:val="008847B8"/>
    <w:rsid w:val="008B55E8"/>
    <w:rsid w:val="00944CF2"/>
    <w:rsid w:val="0094678E"/>
    <w:rsid w:val="00960756"/>
    <w:rsid w:val="00B75CC2"/>
    <w:rsid w:val="00BA639D"/>
    <w:rsid w:val="00CE6D75"/>
    <w:rsid w:val="00E62326"/>
    <w:rsid w:val="00EA2AB5"/>
    <w:rsid w:val="00EF4A75"/>
    <w:rsid w:val="00FE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O-2008-004 Regarding the revised Texas franchise tax</dc:title>
  <dc:subject/>
  <dc:creator>John Waldo [KDOR]</dc:creator>
  <cp:keywords>opinion, income tax, Texas, franchise tax</cp:keywords>
  <dc:description/>
  <cp:lastModifiedBy>John Waldo [KDOR]</cp:lastModifiedBy>
  <cp:revision>3</cp:revision>
  <dcterms:created xsi:type="dcterms:W3CDTF">2020-09-09T18:33:00Z</dcterms:created>
  <dcterms:modified xsi:type="dcterms:W3CDTF">2020-10-15T15:41:00Z</dcterms:modified>
</cp:coreProperties>
</file>