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CF" w:rsidRPr="007333CF" w:rsidRDefault="007333CF" w:rsidP="007333CF">
      <w:pPr>
        <w:spacing w:after="0" w:line="240" w:lineRule="auto"/>
        <w:jc w:val="center"/>
        <w:rPr>
          <w:rFonts w:ascii="Times New Roman" w:eastAsia="Times New Roman" w:hAnsi="Times New Roman" w:cs="Times New Roman"/>
          <w:color w:val="000000"/>
          <w:sz w:val="27"/>
          <w:szCs w:val="27"/>
        </w:rPr>
      </w:pPr>
      <w:r w:rsidRPr="007333CF">
        <w:rPr>
          <w:rFonts w:ascii="Times New Roman" w:eastAsia="Times New Roman" w:hAnsi="Times New Roman" w:cs="Times New Roman"/>
          <w:b/>
          <w:bCs/>
          <w:color w:val="000080"/>
          <w:sz w:val="48"/>
          <w:szCs w:val="48"/>
          <w:u w:val="single"/>
        </w:rPr>
        <w:t>Directive</w:t>
      </w:r>
    </w:p>
    <w:tbl>
      <w:tblPr>
        <w:tblW w:w="0" w:type="auto"/>
        <w:tblCellSpacing w:w="0" w:type="dxa"/>
        <w:tblCellMar>
          <w:left w:w="0" w:type="dxa"/>
          <w:right w:w="0" w:type="dxa"/>
        </w:tblCellMar>
        <w:tblLook w:val="04A0" w:firstRow="1" w:lastRow="0" w:firstColumn="1" w:lastColumn="0" w:noHBand="0" w:noVBand="1"/>
      </w:tblPr>
      <w:tblGrid>
        <w:gridCol w:w="2022"/>
        <w:gridCol w:w="7338"/>
      </w:tblGrid>
      <w:tr w:rsidR="007333CF" w:rsidRPr="007333CF" w:rsidTr="007333CF">
        <w:trPr>
          <w:tblCellSpacing w:w="0" w:type="dxa"/>
        </w:trPr>
        <w:tc>
          <w:tcPr>
            <w:tcW w:w="2130" w:type="dxa"/>
            <w:hideMark/>
          </w:tcPr>
          <w:p w:rsidR="007333CF" w:rsidRPr="007333CF" w:rsidRDefault="007333CF" w:rsidP="007333CF">
            <w:pPr>
              <w:spacing w:after="0" w:line="240" w:lineRule="auto"/>
              <w:rPr>
                <w:rFonts w:ascii="Times New Roman" w:eastAsia="Times New Roman" w:hAnsi="Times New Roman" w:cs="Times New Roman"/>
                <w:sz w:val="24"/>
                <w:szCs w:val="24"/>
              </w:rPr>
            </w:pPr>
            <w:r w:rsidRPr="007333CF">
              <w:rPr>
                <w:rFonts w:ascii="Times New Roman" w:eastAsia="Times New Roman" w:hAnsi="Times New Roman" w:cs="Times New Roman"/>
                <w:b/>
                <w:bCs/>
                <w:color w:val="000080"/>
                <w:sz w:val="24"/>
                <w:szCs w:val="24"/>
              </w:rPr>
              <w:t>Directive Number:</w:t>
            </w:r>
          </w:p>
        </w:tc>
        <w:tc>
          <w:tcPr>
            <w:tcW w:w="7980" w:type="dxa"/>
            <w:hideMark/>
          </w:tcPr>
          <w:p w:rsidR="007333CF" w:rsidRPr="007333CF" w:rsidRDefault="007333CF" w:rsidP="007333CF">
            <w:pPr>
              <w:spacing w:after="0" w:line="240" w:lineRule="auto"/>
              <w:rPr>
                <w:rFonts w:ascii="Times New Roman" w:eastAsia="Times New Roman" w:hAnsi="Times New Roman" w:cs="Times New Roman"/>
                <w:sz w:val="24"/>
                <w:szCs w:val="24"/>
              </w:rPr>
            </w:pPr>
            <w:r w:rsidRPr="007333CF">
              <w:rPr>
                <w:rFonts w:ascii="Times New Roman" w:eastAsia="Times New Roman" w:hAnsi="Times New Roman" w:cs="Times New Roman"/>
                <w:b/>
                <w:bCs/>
                <w:sz w:val="24"/>
                <w:szCs w:val="24"/>
              </w:rPr>
              <w:t>Kansas Tax Equity and Fairness Act of 1997</w:t>
            </w:r>
          </w:p>
        </w:tc>
      </w:tr>
    </w:tbl>
    <w:p w:rsidR="007333CF" w:rsidRPr="007333CF" w:rsidRDefault="007333CF" w:rsidP="007333CF">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1"/>
        <w:gridCol w:w="7339"/>
      </w:tblGrid>
      <w:tr w:rsidR="007333CF" w:rsidRPr="007333CF" w:rsidTr="00D57E61">
        <w:trPr>
          <w:tblCellSpacing w:w="0" w:type="dxa"/>
        </w:trPr>
        <w:tc>
          <w:tcPr>
            <w:tcW w:w="2021" w:type="dxa"/>
            <w:hideMark/>
          </w:tcPr>
          <w:p w:rsidR="007333CF" w:rsidRPr="007333CF" w:rsidRDefault="007333CF" w:rsidP="007333CF">
            <w:pPr>
              <w:spacing w:after="0" w:line="240" w:lineRule="auto"/>
              <w:rPr>
                <w:rFonts w:ascii="Times New Roman" w:eastAsia="Times New Roman" w:hAnsi="Times New Roman" w:cs="Times New Roman"/>
                <w:sz w:val="24"/>
                <w:szCs w:val="24"/>
              </w:rPr>
            </w:pPr>
            <w:r w:rsidRPr="007333CF">
              <w:rPr>
                <w:rFonts w:ascii="Times New Roman" w:eastAsia="Times New Roman" w:hAnsi="Times New Roman" w:cs="Times New Roman"/>
                <w:b/>
                <w:bCs/>
                <w:color w:val="000080"/>
                <w:sz w:val="24"/>
                <w:szCs w:val="24"/>
              </w:rPr>
              <w:t>Tax Type:</w:t>
            </w:r>
          </w:p>
        </w:tc>
        <w:tc>
          <w:tcPr>
            <w:tcW w:w="7339" w:type="dxa"/>
            <w:hideMark/>
          </w:tcPr>
          <w:p w:rsidR="007333CF" w:rsidRPr="007333CF" w:rsidRDefault="007333CF" w:rsidP="007333CF">
            <w:pPr>
              <w:spacing w:after="0" w:line="240" w:lineRule="auto"/>
              <w:rPr>
                <w:rFonts w:ascii="Times New Roman" w:eastAsia="Times New Roman" w:hAnsi="Times New Roman" w:cs="Times New Roman"/>
                <w:sz w:val="24"/>
                <w:szCs w:val="24"/>
              </w:rPr>
            </w:pPr>
            <w:bookmarkStart w:id="0" w:name="_GoBack"/>
            <w:r w:rsidRPr="007333CF">
              <w:rPr>
                <w:rFonts w:ascii="Times New Roman" w:eastAsia="Times New Roman" w:hAnsi="Times New Roman" w:cs="Times New Roman"/>
                <w:b/>
                <w:bCs/>
                <w:sz w:val="24"/>
                <w:szCs w:val="24"/>
              </w:rPr>
              <w:t>Corporate Income Tax; Kansas Retailers' Sales Tax; Kansas Compensating Tax</w:t>
            </w:r>
            <w:bookmarkEnd w:id="0"/>
          </w:p>
        </w:tc>
      </w:tr>
      <w:tr w:rsidR="007333CF" w:rsidRPr="007333CF" w:rsidTr="00D57E61">
        <w:trPr>
          <w:tblCellSpacing w:w="0" w:type="dxa"/>
        </w:trPr>
        <w:tc>
          <w:tcPr>
            <w:tcW w:w="2021" w:type="dxa"/>
            <w:hideMark/>
          </w:tcPr>
          <w:p w:rsidR="007333CF" w:rsidRPr="007333CF" w:rsidRDefault="007333CF" w:rsidP="007333CF">
            <w:pPr>
              <w:spacing w:after="0" w:line="240" w:lineRule="auto"/>
              <w:rPr>
                <w:rFonts w:ascii="Times New Roman" w:eastAsia="Times New Roman" w:hAnsi="Times New Roman" w:cs="Times New Roman"/>
                <w:sz w:val="24"/>
                <w:szCs w:val="24"/>
              </w:rPr>
            </w:pPr>
            <w:r w:rsidRPr="007333CF">
              <w:rPr>
                <w:rFonts w:ascii="Times New Roman" w:eastAsia="Times New Roman" w:hAnsi="Times New Roman" w:cs="Times New Roman"/>
                <w:b/>
                <w:bCs/>
                <w:color w:val="000080"/>
                <w:sz w:val="24"/>
                <w:szCs w:val="24"/>
              </w:rPr>
              <w:t>Brief Description:</w:t>
            </w:r>
          </w:p>
        </w:tc>
        <w:tc>
          <w:tcPr>
            <w:tcW w:w="7339" w:type="dxa"/>
            <w:hideMark/>
          </w:tcPr>
          <w:p w:rsidR="007333CF" w:rsidRPr="007333CF" w:rsidRDefault="007333CF" w:rsidP="007333CF">
            <w:pPr>
              <w:spacing w:after="0" w:line="240" w:lineRule="auto"/>
              <w:rPr>
                <w:rFonts w:ascii="Times New Roman" w:eastAsia="Times New Roman" w:hAnsi="Times New Roman" w:cs="Times New Roman"/>
                <w:sz w:val="24"/>
                <w:szCs w:val="24"/>
              </w:rPr>
            </w:pPr>
            <w:r w:rsidRPr="007333CF">
              <w:rPr>
                <w:rFonts w:ascii="Times New Roman" w:eastAsia="Times New Roman" w:hAnsi="Times New Roman" w:cs="Times New Roman"/>
                <w:b/>
                <w:bCs/>
                <w:sz w:val="24"/>
                <w:szCs w:val="24"/>
              </w:rPr>
              <w:t>H.B. 2105,Section 52</w:t>
            </w:r>
          </w:p>
        </w:tc>
      </w:tr>
      <w:tr w:rsidR="007333CF" w:rsidRPr="007333CF" w:rsidTr="00D57E61">
        <w:trPr>
          <w:tblCellSpacing w:w="0" w:type="dxa"/>
        </w:trPr>
        <w:tc>
          <w:tcPr>
            <w:tcW w:w="2021" w:type="dxa"/>
            <w:hideMark/>
          </w:tcPr>
          <w:p w:rsidR="007333CF" w:rsidRPr="007333CF" w:rsidRDefault="007333CF" w:rsidP="007333CF">
            <w:pPr>
              <w:spacing w:after="0" w:line="240" w:lineRule="auto"/>
              <w:rPr>
                <w:rFonts w:ascii="Times New Roman" w:eastAsia="Times New Roman" w:hAnsi="Times New Roman" w:cs="Times New Roman"/>
                <w:sz w:val="24"/>
                <w:szCs w:val="24"/>
              </w:rPr>
            </w:pPr>
            <w:r w:rsidRPr="007333CF">
              <w:rPr>
                <w:rFonts w:ascii="Times New Roman" w:eastAsia="Times New Roman" w:hAnsi="Times New Roman" w:cs="Times New Roman"/>
                <w:b/>
                <w:bCs/>
                <w:color w:val="000080"/>
                <w:sz w:val="24"/>
                <w:szCs w:val="24"/>
              </w:rPr>
              <w:t>Keywords:</w:t>
            </w:r>
          </w:p>
        </w:tc>
        <w:tc>
          <w:tcPr>
            <w:tcW w:w="7339" w:type="dxa"/>
            <w:hideMark/>
          </w:tcPr>
          <w:p w:rsidR="007333CF" w:rsidRPr="007333CF" w:rsidRDefault="007333CF" w:rsidP="007333CF">
            <w:pPr>
              <w:spacing w:after="0" w:line="240" w:lineRule="auto"/>
              <w:rPr>
                <w:rFonts w:ascii="Times New Roman" w:eastAsia="Times New Roman" w:hAnsi="Times New Roman" w:cs="Times New Roman"/>
                <w:sz w:val="24"/>
                <w:szCs w:val="24"/>
              </w:rPr>
            </w:pPr>
          </w:p>
        </w:tc>
      </w:tr>
      <w:tr w:rsidR="007333CF" w:rsidRPr="007333CF" w:rsidTr="00D57E61">
        <w:trPr>
          <w:tblCellSpacing w:w="0" w:type="dxa"/>
        </w:trPr>
        <w:tc>
          <w:tcPr>
            <w:tcW w:w="2021" w:type="dxa"/>
            <w:hideMark/>
          </w:tcPr>
          <w:p w:rsidR="007333CF" w:rsidRPr="007333CF" w:rsidRDefault="007333CF" w:rsidP="007333CF">
            <w:pPr>
              <w:spacing w:after="0" w:line="240" w:lineRule="auto"/>
              <w:rPr>
                <w:rFonts w:ascii="Times New Roman" w:eastAsia="Times New Roman" w:hAnsi="Times New Roman" w:cs="Times New Roman"/>
                <w:sz w:val="24"/>
                <w:szCs w:val="24"/>
              </w:rPr>
            </w:pPr>
            <w:r w:rsidRPr="007333CF">
              <w:rPr>
                <w:rFonts w:ascii="Times New Roman" w:eastAsia="Times New Roman" w:hAnsi="Times New Roman" w:cs="Times New Roman"/>
                <w:b/>
                <w:bCs/>
                <w:color w:val="000080"/>
                <w:sz w:val="24"/>
                <w:szCs w:val="24"/>
              </w:rPr>
              <w:t>Effective Date:</w:t>
            </w:r>
          </w:p>
        </w:tc>
        <w:tc>
          <w:tcPr>
            <w:tcW w:w="7339" w:type="dxa"/>
            <w:hideMark/>
          </w:tcPr>
          <w:p w:rsidR="007333CF" w:rsidRPr="007333CF" w:rsidRDefault="007333CF" w:rsidP="007333CF">
            <w:pPr>
              <w:spacing w:after="0" w:line="240" w:lineRule="auto"/>
              <w:rPr>
                <w:rFonts w:ascii="Times New Roman" w:eastAsia="Times New Roman" w:hAnsi="Times New Roman" w:cs="Times New Roman"/>
                <w:sz w:val="24"/>
                <w:szCs w:val="24"/>
              </w:rPr>
            </w:pPr>
            <w:r w:rsidRPr="007333CF">
              <w:rPr>
                <w:rFonts w:ascii="Times New Roman" w:eastAsia="Times New Roman" w:hAnsi="Times New Roman" w:cs="Times New Roman"/>
                <w:b/>
                <w:bCs/>
                <w:sz w:val="24"/>
                <w:szCs w:val="24"/>
              </w:rPr>
              <w:t>07/01/1997</w:t>
            </w:r>
          </w:p>
        </w:tc>
      </w:tr>
    </w:tbl>
    <w:p w:rsidR="007333CF" w:rsidRPr="007333CF" w:rsidRDefault="00D57E61" w:rsidP="007333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7333CF" w:rsidRPr="007333CF" w:rsidRDefault="007333CF" w:rsidP="007333CF">
      <w:pPr>
        <w:spacing w:after="0" w:line="240" w:lineRule="auto"/>
        <w:rPr>
          <w:rFonts w:ascii="Times New Roman" w:eastAsia="Times New Roman" w:hAnsi="Times New Roman" w:cs="Times New Roman"/>
          <w:sz w:val="24"/>
          <w:szCs w:val="24"/>
        </w:rPr>
      </w:pP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b/>
          <w:bCs/>
          <w:color w:val="000080"/>
          <w:sz w:val="27"/>
          <w:szCs w:val="27"/>
        </w:rPr>
        <w:t>Body:</w:t>
      </w:r>
    </w:p>
    <w:p w:rsidR="007333CF" w:rsidRPr="007333CF" w:rsidRDefault="007333CF" w:rsidP="007333CF">
      <w:pPr>
        <w:spacing w:after="0" w:line="240" w:lineRule="auto"/>
        <w:jc w:val="center"/>
        <w:rPr>
          <w:rFonts w:ascii="Times New Roman" w:eastAsia="Times New Roman" w:hAnsi="Times New Roman" w:cs="Times New Roman"/>
          <w:color w:val="000000"/>
          <w:sz w:val="27"/>
          <w:szCs w:val="27"/>
        </w:rPr>
      </w:pPr>
      <w:r w:rsidRPr="007333CF">
        <w:rPr>
          <w:rFonts w:ascii="Times New Roman" w:eastAsia="Times New Roman" w:hAnsi="Times New Roman" w:cs="Times New Roman"/>
          <w:color w:val="000000"/>
          <w:sz w:val="27"/>
          <w:szCs w:val="27"/>
        </w:rPr>
        <w:t>Office of the Secretary</w:t>
      </w:r>
    </w:p>
    <w:p w:rsidR="007333CF" w:rsidRPr="007333CF" w:rsidRDefault="007333CF" w:rsidP="007333CF">
      <w:pPr>
        <w:spacing w:after="0" w:line="240" w:lineRule="auto"/>
        <w:rPr>
          <w:rFonts w:ascii="Times New Roman" w:eastAsia="Times New Roman" w:hAnsi="Times New Roman" w:cs="Times New Roman"/>
          <w:sz w:val="24"/>
          <w:szCs w:val="24"/>
        </w:rPr>
      </w:pP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t>TO: All Auditors</w:t>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t xml:space="preserve">FROM: Secretary </w:t>
      </w:r>
      <w:proofErr w:type="spellStart"/>
      <w:r w:rsidRPr="007333CF">
        <w:rPr>
          <w:rFonts w:ascii="Times New Roman" w:eastAsia="Times New Roman" w:hAnsi="Times New Roman" w:cs="Times New Roman"/>
          <w:color w:val="000000"/>
          <w:sz w:val="27"/>
          <w:szCs w:val="27"/>
        </w:rPr>
        <w:t>LaFaver</w:t>
      </w:r>
      <w:proofErr w:type="spellEnd"/>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t>DATE: July 1, 1997</w:t>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t>RE: Kansas Tax Equity and Fairness Act of 1997</w:t>
      </w:r>
      <w:r w:rsidRPr="007333CF">
        <w:rPr>
          <w:rFonts w:ascii="Times New Roman" w:eastAsia="Times New Roman" w:hAnsi="Times New Roman" w:cs="Times New Roman"/>
          <w:color w:val="000000"/>
          <w:sz w:val="27"/>
          <w:szCs w:val="27"/>
        </w:rPr>
        <w:br/>
        <w:t>H.B. 2105, Section 52</w:t>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t>In order to insure compliance with the Kansas Tax Equity and Fairness Act of 1997, the following policies and directives will become effective July 1, 1997.</w:t>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t>The law requires that retailers sales tax and Kansas compensating use taxpayers be provided with audit work papers, personal or telephonic conferences, and scheduling consideration. These policies and directives will also apply to corporate income tax audits and any other tax audit performed by the Kansas Department of Revenue.</w:t>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t>1) Auditors shall provide to taxpayers copies of work papers compiled as a result of the audit. Copies of the work papers will be provided on or before the date on which the audit report is issued. Copies of preliminary work papers will be furnished to the taxpayer at the time of the exit conference. Work papers shall include all computational schedules generated by the auditor, as well as any narratives or other informational documents which support the final audit computations.</w:t>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t>2) Auditors will review the audit findings with the taxpayer of the taxpayer’s representative in person or by phone before completing the audit report. This conference is to be documented on forms AUD/35. An exit conference will be held with the taxpayer at the end of any field audit. The auditor will explain any known</w:t>
      </w:r>
      <w:r w:rsidRPr="007333CF">
        <w:rPr>
          <w:rFonts w:ascii="Times New Roman" w:eastAsia="Times New Roman" w:hAnsi="Times New Roman" w:cs="Times New Roman"/>
          <w:color w:val="000000"/>
          <w:sz w:val="27"/>
          <w:szCs w:val="27"/>
          <w:shd w:val="clear" w:color="auto" w:fill="FFE1B0"/>
        </w:rPr>
        <w:t xml:space="preserve"> </w:t>
      </w:r>
      <w:r w:rsidRPr="007333CF">
        <w:rPr>
          <w:rFonts w:ascii="Times New Roman" w:eastAsia="Times New Roman" w:hAnsi="Times New Roman" w:cs="Times New Roman"/>
          <w:color w:val="000000"/>
          <w:sz w:val="27"/>
          <w:szCs w:val="27"/>
        </w:rPr>
        <w:lastRenderedPageBreak/>
        <w:t>adjustments at that time and will inform the taxpayer of any outstanding issues to be resolved.</w:t>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t>3) When scheduling an audit, the auditor will take into account the taxpayers’ normal hours of operation and be considerate of any special personnel resource requirements. Pay particular attention to the statement “Please indicate any days, weeks, or specific dates which would be </w:t>
      </w:r>
      <w:r w:rsidRPr="007333CF">
        <w:rPr>
          <w:rFonts w:ascii="Times New Roman" w:eastAsia="Times New Roman" w:hAnsi="Times New Roman" w:cs="Times New Roman"/>
          <w:color w:val="000000"/>
          <w:sz w:val="27"/>
          <w:szCs w:val="27"/>
          <w:u w:val="single"/>
        </w:rPr>
        <w:t>unacceptable</w:t>
      </w:r>
      <w:r w:rsidRPr="007333CF">
        <w:rPr>
          <w:rFonts w:ascii="Times New Roman" w:eastAsia="Times New Roman" w:hAnsi="Times New Roman" w:cs="Times New Roman"/>
          <w:color w:val="000000"/>
          <w:sz w:val="27"/>
          <w:szCs w:val="27"/>
        </w:rPr>
        <w:t> for the auditor to begin examining your records during the next eighteen months." This statement is found in AUD/38, pre-audit questionnaire. In addition, auditors shall modify the times of their normal workday when necessary to conform to the normal work schedule of the taxpayer.</w:t>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t xml:space="preserve">John D. </w:t>
      </w:r>
      <w:proofErr w:type="spellStart"/>
      <w:r w:rsidRPr="007333CF">
        <w:rPr>
          <w:rFonts w:ascii="Times New Roman" w:eastAsia="Times New Roman" w:hAnsi="Times New Roman" w:cs="Times New Roman"/>
          <w:color w:val="000000"/>
          <w:sz w:val="27"/>
          <w:szCs w:val="27"/>
        </w:rPr>
        <w:t>LaFaver</w:t>
      </w:r>
      <w:proofErr w:type="spellEnd"/>
      <w:r w:rsidRPr="007333CF">
        <w:rPr>
          <w:rFonts w:ascii="Times New Roman" w:eastAsia="Times New Roman" w:hAnsi="Times New Roman" w:cs="Times New Roman"/>
          <w:color w:val="000000"/>
          <w:sz w:val="27"/>
          <w:szCs w:val="27"/>
        </w:rPr>
        <w:br/>
        <w:t>Secretary of Revenue</w:t>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color w:val="000000"/>
          <w:sz w:val="27"/>
          <w:szCs w:val="27"/>
        </w:rPr>
        <w:br/>
      </w:r>
      <w:r w:rsidRPr="007333CF">
        <w:rPr>
          <w:rFonts w:ascii="Times New Roman" w:eastAsia="Times New Roman" w:hAnsi="Times New Roman" w:cs="Times New Roman"/>
          <w:b/>
          <w:bCs/>
          <w:color w:val="000080"/>
          <w:sz w:val="27"/>
          <w:szCs w:val="27"/>
          <w:shd w:val="clear" w:color="auto" w:fill="FFE1B0"/>
        </w:rPr>
        <w:t>Date Composed: </w:t>
      </w:r>
      <w:r w:rsidRPr="007333CF">
        <w:rPr>
          <w:rFonts w:ascii="Times New Roman" w:eastAsia="Times New Roman" w:hAnsi="Times New Roman" w:cs="Times New Roman"/>
          <w:b/>
          <w:bCs/>
          <w:color w:val="000000"/>
          <w:sz w:val="27"/>
          <w:szCs w:val="27"/>
          <w:shd w:val="clear" w:color="auto" w:fill="FFE1B0"/>
        </w:rPr>
        <w:t>12/18/1997</w:t>
      </w:r>
      <w:r w:rsidRPr="007333CF">
        <w:rPr>
          <w:rFonts w:ascii="Times New Roman" w:eastAsia="Times New Roman" w:hAnsi="Times New Roman" w:cs="Times New Roman"/>
          <w:b/>
          <w:bCs/>
          <w:color w:val="000080"/>
          <w:sz w:val="27"/>
          <w:szCs w:val="27"/>
          <w:shd w:val="clear" w:color="auto" w:fill="FFE1B0"/>
        </w:rPr>
        <w:t> Date Modified: </w:t>
      </w:r>
      <w:r w:rsidRPr="007333CF">
        <w:rPr>
          <w:rFonts w:ascii="Times New Roman" w:eastAsia="Times New Roman" w:hAnsi="Times New Roman" w:cs="Times New Roman"/>
          <w:b/>
          <w:bCs/>
          <w:color w:val="000000"/>
          <w:sz w:val="27"/>
          <w:szCs w:val="27"/>
          <w:shd w:val="clear" w:color="auto" w:fill="FFE1B0"/>
        </w:rPr>
        <w:t>10/09/2001</w:t>
      </w:r>
      <w:r w:rsidRPr="007333CF">
        <w:rPr>
          <w:rFonts w:ascii="Times New Roman" w:eastAsia="Times New Roman" w:hAnsi="Times New Roman" w:cs="Times New Roman"/>
          <w:color w:val="000000"/>
          <w:sz w:val="27"/>
          <w:szCs w:val="27"/>
        </w:rPr>
        <w:br/>
      </w:r>
    </w:p>
    <w:tbl>
      <w:tblPr>
        <w:tblW w:w="5000" w:type="pct"/>
        <w:tblCellSpacing w:w="0" w:type="dxa"/>
        <w:shd w:val="clear" w:color="auto" w:fill="FFE1B0"/>
        <w:tblCellMar>
          <w:left w:w="0" w:type="dxa"/>
          <w:right w:w="0" w:type="dxa"/>
        </w:tblCellMar>
        <w:tblLook w:val="04A0" w:firstRow="1" w:lastRow="0" w:firstColumn="1" w:lastColumn="0" w:noHBand="0" w:noVBand="1"/>
      </w:tblPr>
      <w:tblGrid>
        <w:gridCol w:w="3120"/>
        <w:gridCol w:w="3120"/>
        <w:gridCol w:w="3120"/>
      </w:tblGrid>
      <w:tr w:rsidR="007333CF" w:rsidRPr="007333CF" w:rsidTr="007333CF">
        <w:trPr>
          <w:tblCellSpacing w:w="0" w:type="dxa"/>
        </w:trPr>
        <w:tc>
          <w:tcPr>
            <w:tcW w:w="1650" w:type="pct"/>
            <w:shd w:val="clear" w:color="auto" w:fill="auto"/>
          </w:tcPr>
          <w:p w:rsidR="007333CF" w:rsidRPr="007333CF" w:rsidRDefault="007333CF" w:rsidP="007333CF">
            <w:pPr>
              <w:spacing w:after="0" w:line="240" w:lineRule="auto"/>
              <w:rPr>
                <w:rFonts w:ascii="Times New Roman" w:eastAsia="Times New Roman" w:hAnsi="Times New Roman" w:cs="Times New Roman"/>
                <w:sz w:val="24"/>
                <w:szCs w:val="24"/>
              </w:rPr>
            </w:pPr>
          </w:p>
        </w:tc>
        <w:tc>
          <w:tcPr>
            <w:tcW w:w="1650" w:type="pct"/>
            <w:shd w:val="clear" w:color="auto" w:fill="auto"/>
          </w:tcPr>
          <w:p w:rsidR="007333CF" w:rsidRPr="007333CF" w:rsidRDefault="007333CF" w:rsidP="007333CF">
            <w:pPr>
              <w:spacing w:after="0" w:line="240" w:lineRule="auto"/>
              <w:jc w:val="center"/>
              <w:rPr>
                <w:rFonts w:ascii="Times New Roman" w:eastAsia="Times New Roman" w:hAnsi="Times New Roman" w:cs="Times New Roman"/>
                <w:sz w:val="24"/>
                <w:szCs w:val="24"/>
              </w:rPr>
            </w:pPr>
          </w:p>
        </w:tc>
        <w:tc>
          <w:tcPr>
            <w:tcW w:w="1650" w:type="pct"/>
            <w:shd w:val="clear" w:color="auto" w:fill="auto"/>
          </w:tcPr>
          <w:p w:rsidR="007333CF" w:rsidRPr="007333CF" w:rsidRDefault="007333CF" w:rsidP="007333CF">
            <w:pPr>
              <w:spacing w:after="0" w:line="240" w:lineRule="auto"/>
              <w:rPr>
                <w:rFonts w:ascii="Times New Roman" w:eastAsia="Times New Roman" w:hAnsi="Times New Roman" w:cs="Times New Roman"/>
                <w:sz w:val="24"/>
                <w:szCs w:val="24"/>
              </w:rPr>
            </w:pPr>
          </w:p>
        </w:tc>
      </w:tr>
      <w:tr w:rsidR="007333CF" w:rsidRPr="007333CF" w:rsidTr="007333CF">
        <w:trPr>
          <w:tblCellSpacing w:w="0" w:type="dxa"/>
        </w:trPr>
        <w:tc>
          <w:tcPr>
            <w:tcW w:w="1650" w:type="pct"/>
            <w:shd w:val="clear" w:color="auto" w:fill="auto"/>
          </w:tcPr>
          <w:p w:rsidR="007333CF" w:rsidRPr="007333CF" w:rsidRDefault="007333CF" w:rsidP="007333CF">
            <w:pPr>
              <w:spacing w:after="0" w:line="240" w:lineRule="auto"/>
              <w:rPr>
                <w:rFonts w:ascii="Times New Roman" w:eastAsia="Times New Roman" w:hAnsi="Times New Roman" w:cs="Times New Roman"/>
                <w:sz w:val="24"/>
                <w:szCs w:val="24"/>
              </w:rPr>
            </w:pPr>
          </w:p>
        </w:tc>
        <w:tc>
          <w:tcPr>
            <w:tcW w:w="1650" w:type="pct"/>
            <w:shd w:val="clear" w:color="auto" w:fill="auto"/>
          </w:tcPr>
          <w:p w:rsidR="007333CF" w:rsidRPr="007333CF" w:rsidRDefault="007333CF" w:rsidP="007333CF">
            <w:pPr>
              <w:spacing w:after="0" w:line="240" w:lineRule="auto"/>
              <w:jc w:val="center"/>
              <w:rPr>
                <w:rFonts w:ascii="Times New Roman" w:eastAsia="Times New Roman" w:hAnsi="Times New Roman" w:cs="Times New Roman"/>
                <w:sz w:val="24"/>
                <w:szCs w:val="24"/>
              </w:rPr>
            </w:pPr>
          </w:p>
        </w:tc>
        <w:tc>
          <w:tcPr>
            <w:tcW w:w="1650" w:type="pct"/>
            <w:shd w:val="clear" w:color="auto" w:fill="auto"/>
          </w:tcPr>
          <w:p w:rsidR="007333CF" w:rsidRPr="007333CF" w:rsidRDefault="007333CF" w:rsidP="007333CF">
            <w:pPr>
              <w:spacing w:after="0" w:line="240" w:lineRule="auto"/>
              <w:rPr>
                <w:rFonts w:ascii="Times New Roman" w:eastAsia="Times New Roman" w:hAnsi="Times New Roman" w:cs="Times New Roman"/>
                <w:sz w:val="24"/>
                <w:szCs w:val="24"/>
              </w:rPr>
            </w:pPr>
          </w:p>
        </w:tc>
      </w:tr>
    </w:tbl>
    <w:p w:rsidR="00071A48" w:rsidRDefault="00071A48" w:rsidP="007333CF"/>
    <w:sectPr w:rsidR="00071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CF"/>
    <w:rsid w:val="00071A48"/>
    <w:rsid w:val="007333CF"/>
    <w:rsid w:val="00D5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4031AA6-69DC-46F4-A275-74ADE88D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3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3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 Kansas Tax Equity and Fairness Act of 1997</dc:title>
  <dc:subject/>
  <dc:creator>John Waldo [KDOR]</dc:creator>
  <cp:keywords>Corporate Income Tax,Kansas Retailers' Sales Tax, Kansas Compensating Tax,H.B. 2105,Section 52,directive,tax equity,</cp:keywords>
  <dc:description/>
  <cp:lastModifiedBy>John Waldo [KDOR]</cp:lastModifiedBy>
  <cp:revision>2</cp:revision>
  <dcterms:created xsi:type="dcterms:W3CDTF">2020-09-03T17:18:00Z</dcterms:created>
  <dcterms:modified xsi:type="dcterms:W3CDTF">2020-09-24T18:17:00Z</dcterms:modified>
</cp:coreProperties>
</file>